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Rurka zasilająca</w:t></w:r></w:p><w:p><w:pPr/><w:r><w:rPr><w:rFonts w:ascii="Calibri" w:hAnsi="Calibri" w:eastAsia="Calibri" w:cs="Calibri"/><w:sz w:val="22"/><w:szCs w:val="22"/></w:rPr><w:t xml:space="preserve">Do pisuaru VILLEROY & BOCH „Losange 7530"</w:t></w:r></w:p><w:p><w:pPr/><w:r><w:rPr><w:rFonts w:ascii="Calibri" w:hAnsi="Calibri" w:eastAsia="Calibri" w:cs="Calibri"/><w:sz w:val="22"/><w:szCs w:val="22"/></w:rPr><w:t xml:space="preserve">W½"</w:t></w:r></w:p><w:p/><w:p><w:pPr/><w:r><w:rPr><w:rFonts w:ascii="Calibri" w:hAnsi="Calibri" w:eastAsia="Calibri" w:cs="Calibri"/><w:sz w:val="22"/><w:szCs w:val="22"/></w:rPr><w:t xml:space="preserve">Numer: </w:t></w:r><w:r><w:rPr><w:rFonts w:ascii="Calibri" w:hAnsi="Calibri" w:eastAsia="Calibri" w:cs="Calibri"/><w:color w:val="0088bc"/><w:sz w:val="22"/><w:szCs w:val="22"/><w:b/><w:bCs/></w:rPr><w:t xml:space="preserve">751753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Opis do specyfikacji</w:t></w:r></w:p><w:p/><w:p><w:pPr><w:spacing w:line="288" w:lineRule="auto"/></w:pPr><w:r><w:rPr><w:rFonts w:ascii="Calibri" w:hAnsi="Calibri" w:eastAsia="Calibri" w:cs="Calibri"/><w:sz w:val="22"/><w:szCs w:val="22"/></w:rPr><w:t xml:space="preserve">Rurka zasilająca do pisuaru VILLEROY & BOCH „Losange 7530" z króćcem. </w:t></w:r></w:p><w:p><w:pPr><w:spacing w:line="288" w:lineRule="auto"/></w:pPr><w:r><w:rPr><w:rFonts w:ascii="Calibri" w:hAnsi="Calibri" w:eastAsia="Calibri" w:cs="Calibri"/><w:sz w:val="22"/><w:szCs w:val="22"/></w:rPr><w:t xml:space="preserve">W½″. </w:t></w:r></w:p><w:p><w:pPr><w:spacing w:line="288" w:lineRule="auto"/></w:pPr><w:r><w:rPr><w:rFonts w:ascii="Calibri" w:hAnsi="Calibri" w:eastAsia="Calibri" w:cs="Calibri"/><w:sz w:val="22"/><w:szCs w:val="22"/></w:rPr><w:t xml:space="preserve">30 lat gwarancji.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2024-01-13T14:16:12+01:00</dcterms:created>
  <dcterms:modified xsi:type="dcterms:W3CDTF">2024-01-13T14:16:12+01:00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