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Rurka zasilająca</w:t></w:r></w:p><w:p><w:pPr/><w:r><w:rPr><w:rFonts w:ascii="Calibri" w:hAnsi="Calibri" w:eastAsia="Calibri" w:cs="Calibri"/><w:sz w:val="22"/><w:szCs w:val="22"/></w:rPr><w:t xml:space="preserve">Do pisuaru VILLEROY & BOCH „Losange 7530"</w:t></w:r></w:p><w:p><w:pPr/><w:r><w:rPr><w:rFonts w:ascii="Calibri" w:hAnsi="Calibri" w:eastAsia="Calibri" w:cs="Calibri"/><w:sz w:val="22"/><w:szCs w:val="22"/></w:rPr><w:t xml:space="preserve">W½"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VILLEROY & BOCH „Losange 7530" z króćcem. </w:t></w:r></w:p><w:p><w:pPr><w:spacing w:line="288" w:lineRule="auto"/></w:pPr><w:r><w:rPr><w:rFonts w:ascii="Calibri" w:hAnsi="Calibri" w:eastAsia="Calibri" w:cs="Calibri"/><w:sz w:val="22"/><w:szCs w:val="22"/></w:rPr><w:t xml:space="preserve">W½″.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2024-01-13T14:16:12+01:00</dcterms:created>
  <dcterms:modified xsi:type="dcterms:W3CDTF">2024-01-13T14:16:12+01:00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